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1CFF" w14:textId="77777777" w:rsidR="00805874" w:rsidRPr="007C6870" w:rsidRDefault="00000000" w:rsidP="007C6870">
      <w:pPr>
        <w:pStyle w:val="Title"/>
        <w:jc w:val="center"/>
        <w:rPr>
          <w:rFonts w:ascii="Arial" w:hAnsi="Arial" w:cs="Arial"/>
          <w:sz w:val="24"/>
          <w:szCs w:val="24"/>
        </w:rPr>
      </w:pPr>
      <w:r w:rsidRPr="007C6870">
        <w:rPr>
          <w:rFonts w:ascii="Arial" w:hAnsi="Arial" w:cs="Arial"/>
          <w:sz w:val="24"/>
          <w:szCs w:val="24"/>
        </w:rPr>
        <w:t>Terms of Use</w:t>
      </w:r>
    </w:p>
    <w:p w14:paraId="24604E8E" w14:textId="42BFDDA2" w:rsidR="00805874" w:rsidRPr="007C6870" w:rsidRDefault="007C6870" w:rsidP="007C6870">
      <w:pPr>
        <w:jc w:val="both"/>
        <w:rPr>
          <w:rFonts w:ascii="Arial" w:hAnsi="Arial" w:cs="Arial"/>
          <w:sz w:val="20"/>
          <w:szCs w:val="20"/>
        </w:rPr>
      </w:pPr>
      <w:r w:rsidRPr="007C6870">
        <w:rPr>
          <w:rFonts w:ascii="Arial" w:hAnsi="Arial" w:cs="Arial"/>
          <w:b/>
          <w:bCs/>
          <w:sz w:val="20"/>
          <w:szCs w:val="20"/>
        </w:rPr>
        <w:t>THESE TERMS OF USE</w:t>
      </w:r>
      <w:r w:rsidRPr="007C6870">
        <w:rPr>
          <w:rFonts w:ascii="Arial" w:hAnsi="Arial" w:cs="Arial"/>
          <w:sz w:val="20"/>
          <w:szCs w:val="20"/>
        </w:rPr>
        <w:t xml:space="preserve"> apply to websites, portals, documentation, online interfaces, and user-facing access points operated by Dispatch Diligence Inc. d/b/a DispatchDiligence. They supplement the End Customer Subscription Terms and applicable Order Forms. If you access the Services on behalf of an organization, you represent that you are authorized to bind that organization or to use the Services as an Authorized User under that organization’s subscription.</w:t>
      </w:r>
    </w:p>
    <w:p w14:paraId="1DB273FB"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1. Eligibility and Acceptance</w:t>
      </w:r>
    </w:p>
    <w:p w14:paraId="62182837" w14:textId="77777777" w:rsidR="00805874" w:rsidRPr="007C6870" w:rsidRDefault="00000000" w:rsidP="007C6870">
      <w:pPr>
        <w:jc w:val="both"/>
        <w:rPr>
          <w:rFonts w:ascii="Arial" w:hAnsi="Arial" w:cs="Arial"/>
          <w:b/>
          <w:bCs/>
          <w:sz w:val="20"/>
          <w:szCs w:val="20"/>
        </w:rPr>
      </w:pPr>
      <w:r w:rsidRPr="007C6870">
        <w:rPr>
          <w:rFonts w:ascii="Arial" w:hAnsi="Arial" w:cs="Arial"/>
          <w:sz w:val="20"/>
          <w:szCs w:val="20"/>
        </w:rPr>
        <w:t xml:space="preserve">By accessing or using the website, portal, documentation, or Services, you accept these Terms of Use, the Acceptable Use Policy, Privacy Terms, Service-Specific Terms, and any applicable subscription terms. </w:t>
      </w:r>
      <w:r w:rsidRPr="007C6870">
        <w:rPr>
          <w:rFonts w:ascii="Arial" w:hAnsi="Arial" w:cs="Arial"/>
          <w:b/>
          <w:bCs/>
          <w:sz w:val="20"/>
          <w:szCs w:val="20"/>
        </w:rPr>
        <w:t>If you do not agree, do not access or use the Services.</w:t>
      </w:r>
    </w:p>
    <w:p w14:paraId="53CBC37C"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The Services are intended for business use by adults and organizations. The Services are not intended for children or for personal, family, or household use.</w:t>
      </w:r>
    </w:p>
    <w:p w14:paraId="4B174F67"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2. Accounts and Credentials</w:t>
      </w:r>
    </w:p>
    <w:p w14:paraId="584DF6B6" w14:textId="0525763E" w:rsidR="00805874" w:rsidRPr="007C6870" w:rsidRDefault="00000000" w:rsidP="007C6870">
      <w:pPr>
        <w:jc w:val="both"/>
        <w:rPr>
          <w:rFonts w:ascii="Arial" w:hAnsi="Arial" w:cs="Arial"/>
          <w:sz w:val="20"/>
          <w:szCs w:val="20"/>
        </w:rPr>
      </w:pPr>
      <w:r w:rsidRPr="007C6870">
        <w:rPr>
          <w:rFonts w:ascii="Arial" w:hAnsi="Arial" w:cs="Arial"/>
          <w:sz w:val="20"/>
          <w:szCs w:val="20"/>
        </w:rPr>
        <w:t xml:space="preserve">You must provide accurate account information and protect </w:t>
      </w:r>
      <w:r w:rsidR="007C6870">
        <w:rPr>
          <w:rFonts w:ascii="Arial" w:hAnsi="Arial" w:cs="Arial"/>
          <w:sz w:val="20"/>
          <w:szCs w:val="20"/>
        </w:rPr>
        <w:t xml:space="preserve">your </w:t>
      </w:r>
      <w:r w:rsidRPr="007C6870">
        <w:rPr>
          <w:rFonts w:ascii="Arial" w:hAnsi="Arial" w:cs="Arial"/>
          <w:sz w:val="20"/>
          <w:szCs w:val="20"/>
        </w:rPr>
        <w:t>credentials. You may not share credentials, allow unauthorized access, or use another person’s account. You must promptly notify DispatchDiligence or your account administrator of suspected unauthorized access.</w:t>
      </w:r>
    </w:p>
    <w:p w14:paraId="41FE8B38"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3. Permitted Use</w:t>
      </w:r>
    </w:p>
    <w:p w14:paraId="5D2FBAC9" w14:textId="0935DC74" w:rsidR="00805874" w:rsidRPr="007C6870" w:rsidRDefault="00000000" w:rsidP="007C6870">
      <w:pPr>
        <w:jc w:val="both"/>
        <w:rPr>
          <w:rFonts w:ascii="Arial" w:hAnsi="Arial" w:cs="Arial"/>
          <w:sz w:val="20"/>
          <w:szCs w:val="20"/>
        </w:rPr>
      </w:pPr>
      <w:r w:rsidRPr="007C6870">
        <w:rPr>
          <w:rFonts w:ascii="Arial" w:hAnsi="Arial" w:cs="Arial"/>
          <w:sz w:val="20"/>
          <w:szCs w:val="20"/>
        </w:rPr>
        <w:t>Subject to all applicable terms, you may use the Services solely for authorized business purposes related to your organization’s carrier-selection diligence, policy application, exception approvals, decision history, evidence-file organization, and related workflows.</w:t>
      </w:r>
    </w:p>
    <w:p w14:paraId="0B1D89E3" w14:textId="77777777" w:rsidR="00805874" w:rsidRDefault="00000000" w:rsidP="007C6870">
      <w:pPr>
        <w:pStyle w:val="Heading1"/>
        <w:jc w:val="both"/>
        <w:rPr>
          <w:rFonts w:ascii="Arial" w:hAnsi="Arial" w:cs="Arial"/>
          <w:sz w:val="20"/>
          <w:szCs w:val="20"/>
        </w:rPr>
      </w:pPr>
      <w:r w:rsidRPr="007C6870">
        <w:rPr>
          <w:rFonts w:ascii="Arial" w:hAnsi="Arial" w:cs="Arial"/>
          <w:sz w:val="20"/>
          <w:szCs w:val="20"/>
        </w:rPr>
        <w:t>4. Prohibited Conduct</w:t>
      </w:r>
    </w:p>
    <w:p w14:paraId="0E30C439" w14:textId="7727147A" w:rsidR="007C6870" w:rsidRPr="007C6870" w:rsidRDefault="007C6870" w:rsidP="007C6870">
      <w:pPr>
        <w:rPr>
          <w:rFonts w:ascii="Arial" w:hAnsi="Arial" w:cs="Arial"/>
          <w:sz w:val="20"/>
          <w:szCs w:val="20"/>
        </w:rPr>
      </w:pPr>
      <w:r w:rsidRPr="007C6870">
        <w:rPr>
          <w:rFonts w:ascii="Arial" w:hAnsi="Arial" w:cs="Arial"/>
          <w:sz w:val="20"/>
          <w:szCs w:val="20"/>
        </w:rPr>
        <w:t>You may not</w:t>
      </w:r>
    </w:p>
    <w:p w14:paraId="073F8D47" w14:textId="77777777" w:rsidR="00805874" w:rsidRPr="007C6870" w:rsidRDefault="00000000" w:rsidP="007C6870">
      <w:pPr>
        <w:pStyle w:val="ListBullet"/>
        <w:jc w:val="both"/>
        <w:rPr>
          <w:rFonts w:ascii="Arial" w:hAnsi="Arial" w:cs="Arial"/>
          <w:sz w:val="20"/>
          <w:szCs w:val="20"/>
        </w:rPr>
      </w:pPr>
      <w:r w:rsidRPr="007C6870">
        <w:rPr>
          <w:rFonts w:ascii="Arial" w:hAnsi="Arial" w:cs="Arial"/>
          <w:sz w:val="20"/>
          <w:szCs w:val="20"/>
        </w:rPr>
        <w:t>Use the Services for illegal, deceptive, harmful, abusive, privacy-invasive, or unauthorized purposes.</w:t>
      </w:r>
    </w:p>
    <w:p w14:paraId="2C1B9F08" w14:textId="77777777" w:rsidR="00805874" w:rsidRPr="007C6870" w:rsidRDefault="00000000" w:rsidP="007C6870">
      <w:pPr>
        <w:pStyle w:val="ListBullet"/>
        <w:jc w:val="both"/>
        <w:rPr>
          <w:rFonts w:ascii="Arial" w:hAnsi="Arial" w:cs="Arial"/>
          <w:sz w:val="20"/>
          <w:szCs w:val="20"/>
        </w:rPr>
      </w:pPr>
      <w:r w:rsidRPr="007C6870">
        <w:rPr>
          <w:rFonts w:ascii="Arial" w:hAnsi="Arial" w:cs="Arial"/>
          <w:sz w:val="20"/>
          <w:szCs w:val="20"/>
        </w:rPr>
        <w:t>Access or attempt to access another customer’s data or account.</w:t>
      </w:r>
    </w:p>
    <w:p w14:paraId="3AB0BF43" w14:textId="3AD9F59B" w:rsidR="00805874" w:rsidRPr="007C6870" w:rsidRDefault="00000000" w:rsidP="007C6870">
      <w:pPr>
        <w:pStyle w:val="ListBullet"/>
        <w:jc w:val="both"/>
        <w:rPr>
          <w:rFonts w:ascii="Arial" w:hAnsi="Arial" w:cs="Arial"/>
          <w:sz w:val="20"/>
          <w:szCs w:val="20"/>
        </w:rPr>
      </w:pPr>
      <w:r w:rsidRPr="007C6870">
        <w:rPr>
          <w:rFonts w:ascii="Arial" w:hAnsi="Arial" w:cs="Arial"/>
          <w:sz w:val="20"/>
          <w:szCs w:val="20"/>
        </w:rPr>
        <w:t>Reverse engineer, decompile, scrape, crawl, monitor, benchmark, or copy the Services</w:t>
      </w:r>
      <w:r w:rsidR="007C6870">
        <w:rPr>
          <w:rFonts w:ascii="Arial" w:hAnsi="Arial" w:cs="Arial"/>
          <w:sz w:val="20"/>
          <w:szCs w:val="20"/>
        </w:rPr>
        <w:t>.</w:t>
      </w:r>
    </w:p>
    <w:p w14:paraId="29A64083" w14:textId="77777777" w:rsidR="00805874" w:rsidRPr="007C6870" w:rsidRDefault="00000000" w:rsidP="007C6870">
      <w:pPr>
        <w:pStyle w:val="ListBullet"/>
        <w:jc w:val="both"/>
        <w:rPr>
          <w:rFonts w:ascii="Arial" w:hAnsi="Arial" w:cs="Arial"/>
          <w:sz w:val="20"/>
          <w:szCs w:val="20"/>
        </w:rPr>
      </w:pPr>
      <w:r w:rsidRPr="007C6870">
        <w:rPr>
          <w:rFonts w:ascii="Arial" w:hAnsi="Arial" w:cs="Arial"/>
          <w:sz w:val="20"/>
          <w:szCs w:val="20"/>
        </w:rPr>
        <w:t>Upload malware, malicious code, excessive data, or prohibited High-Risk Data.</w:t>
      </w:r>
    </w:p>
    <w:p w14:paraId="6A05ACE4" w14:textId="77777777" w:rsidR="00805874" w:rsidRPr="007C6870" w:rsidRDefault="00000000" w:rsidP="007C6870">
      <w:pPr>
        <w:pStyle w:val="ListBullet"/>
        <w:jc w:val="both"/>
        <w:rPr>
          <w:rFonts w:ascii="Arial" w:hAnsi="Arial" w:cs="Arial"/>
          <w:sz w:val="20"/>
          <w:szCs w:val="20"/>
        </w:rPr>
      </w:pPr>
      <w:r w:rsidRPr="007C6870">
        <w:rPr>
          <w:rFonts w:ascii="Arial" w:hAnsi="Arial" w:cs="Arial"/>
          <w:sz w:val="20"/>
          <w:szCs w:val="20"/>
        </w:rPr>
        <w:t>Circumvent rate limits, access controls, security measures, usage limits, or feature restrictions.</w:t>
      </w:r>
    </w:p>
    <w:p w14:paraId="76C695B8" w14:textId="77777777" w:rsidR="00805874" w:rsidRPr="007C6870" w:rsidRDefault="00000000" w:rsidP="007C6870">
      <w:pPr>
        <w:pStyle w:val="ListBullet"/>
        <w:jc w:val="both"/>
        <w:rPr>
          <w:rFonts w:ascii="Arial" w:hAnsi="Arial" w:cs="Arial"/>
          <w:sz w:val="20"/>
          <w:szCs w:val="20"/>
        </w:rPr>
      </w:pPr>
      <w:r w:rsidRPr="007C6870">
        <w:rPr>
          <w:rFonts w:ascii="Arial" w:hAnsi="Arial" w:cs="Arial"/>
          <w:sz w:val="20"/>
          <w:szCs w:val="20"/>
        </w:rPr>
        <w:t>Use outputs as a substitute for legal, safety, insurance, claims, compliance, or operational judgment.</w:t>
      </w:r>
    </w:p>
    <w:p w14:paraId="3B6AAD74" w14:textId="77777777" w:rsidR="00805874" w:rsidRPr="007C6870" w:rsidRDefault="00000000" w:rsidP="007C6870">
      <w:pPr>
        <w:pStyle w:val="ListBullet"/>
        <w:jc w:val="both"/>
        <w:rPr>
          <w:rFonts w:ascii="Arial" w:hAnsi="Arial" w:cs="Arial"/>
          <w:sz w:val="20"/>
          <w:szCs w:val="20"/>
        </w:rPr>
      </w:pPr>
      <w:r w:rsidRPr="007C6870">
        <w:rPr>
          <w:rFonts w:ascii="Arial" w:hAnsi="Arial" w:cs="Arial"/>
          <w:sz w:val="20"/>
          <w:szCs w:val="20"/>
        </w:rPr>
        <w:t>Misrepresent that DispatchDiligence certifies, approves, guarantees, or rates a carrier.</w:t>
      </w:r>
    </w:p>
    <w:p w14:paraId="068D0D7E"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lastRenderedPageBreak/>
        <w:t>5. Customer Content and User Submissions</w:t>
      </w:r>
    </w:p>
    <w:p w14:paraId="6C4B3FC9"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You are responsible for the information you submit, upload, connect, import, or make available. You represent that your organization has the rights, permissions, consents, and authority required for DispatchDiligence to process that information as part of the Services.</w:t>
      </w:r>
    </w:p>
    <w:p w14:paraId="1DDAF7E2"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Do not upload High-Risk Data unless it is expressly permitted by your organization’s Order Form or a signed addendum and any required safeguards are in place.</w:t>
      </w:r>
    </w:p>
    <w:p w14:paraId="7464684C"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6. Intellectual Property</w:t>
      </w:r>
    </w:p>
    <w:p w14:paraId="4B022B96"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The website, portal, Services, software, workflows, templates, prompts, documentation, user interfaces, designs, and other Provider Technology are owned by DispatchDiligence or its licensors. No rights are granted except the limited right to use the Services as authorized.</w:t>
      </w:r>
    </w:p>
    <w:p w14:paraId="2D4EFCA0"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7. Third-Party Links and Systems</w:t>
      </w:r>
    </w:p>
    <w:p w14:paraId="4A3E4584"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 xml:space="preserve">The Services may reference, connect to, or depend on Third-Party Systems. </w:t>
      </w:r>
      <w:proofErr w:type="gramStart"/>
      <w:r w:rsidRPr="007C6870">
        <w:rPr>
          <w:rFonts w:ascii="Arial" w:hAnsi="Arial" w:cs="Arial"/>
          <w:sz w:val="20"/>
          <w:szCs w:val="20"/>
        </w:rPr>
        <w:t>DispatchDiligence</w:t>
      </w:r>
      <w:proofErr w:type="gramEnd"/>
      <w:r w:rsidRPr="007C6870">
        <w:rPr>
          <w:rFonts w:ascii="Arial" w:hAnsi="Arial" w:cs="Arial"/>
          <w:sz w:val="20"/>
          <w:szCs w:val="20"/>
        </w:rPr>
        <w:t xml:space="preserve"> does not control Third-Party Systems and is not responsible for their availability, accuracy, terms, security, legality, or performance.</w:t>
      </w:r>
    </w:p>
    <w:p w14:paraId="51FDA60E"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8. Product-Specific Disclaimer</w:t>
      </w:r>
    </w:p>
    <w:p w14:paraId="0AD83D68" w14:textId="77777777" w:rsidR="00805874" w:rsidRPr="007C6870" w:rsidRDefault="00000000" w:rsidP="007C6870">
      <w:pPr>
        <w:jc w:val="both"/>
        <w:rPr>
          <w:rFonts w:ascii="Arial" w:hAnsi="Arial" w:cs="Arial"/>
          <w:sz w:val="20"/>
          <w:szCs w:val="20"/>
        </w:rPr>
      </w:pPr>
      <w:proofErr w:type="gramStart"/>
      <w:r w:rsidRPr="007C6870">
        <w:rPr>
          <w:rFonts w:ascii="Arial" w:hAnsi="Arial" w:cs="Arial"/>
          <w:sz w:val="20"/>
          <w:szCs w:val="20"/>
        </w:rPr>
        <w:t>DispatchDiligence</w:t>
      </w:r>
      <w:proofErr w:type="gramEnd"/>
      <w:r w:rsidRPr="007C6870">
        <w:rPr>
          <w:rFonts w:ascii="Arial" w:hAnsi="Arial" w:cs="Arial"/>
          <w:sz w:val="20"/>
          <w:szCs w:val="20"/>
        </w:rPr>
        <w:t xml:space="preserve"> is a recordkeeping, workflow, and evidence-file system. It is not a carrier certification system, safety-rating agency, law firm, insurer, broker, carrier, freight forwarder, or government agency. DispatchDiligence does not provide legal advice, safety advice, insurance advice, or motor carrier safety fitness determinations.</w:t>
      </w:r>
    </w:p>
    <w:p w14:paraId="24B87BDA"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9. Privacy</w:t>
      </w:r>
    </w:p>
    <w:p w14:paraId="54740F18"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The Privacy Terms describe how DispatchDiligence handles personal information in connection with the website and Services. Customer Content processed on behalf of an organization may also be governed by the Data Processing Addendum and the organization’s own privacy notices and instructions.</w:t>
      </w:r>
    </w:p>
    <w:p w14:paraId="0373EEB4"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10. Suspension and Removal</w:t>
      </w:r>
    </w:p>
    <w:p w14:paraId="119920D9"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DispatchDiligence may suspend or restrict access if it reasonably believes use violates these terms, creates a security risk, violates law or third-party terms, involves prohibited data, or could harm DispatchDiligence, customers, users, carriers, or third parties.</w:t>
      </w:r>
    </w:p>
    <w:p w14:paraId="3A8DD3D0"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11. Disclaimers and Liability</w:t>
      </w:r>
    </w:p>
    <w:p w14:paraId="6E03A821" w14:textId="77777777" w:rsidR="00805874" w:rsidRDefault="00000000" w:rsidP="007C6870">
      <w:pPr>
        <w:jc w:val="both"/>
        <w:rPr>
          <w:rFonts w:ascii="Arial" w:hAnsi="Arial" w:cs="Arial"/>
          <w:sz w:val="20"/>
          <w:szCs w:val="20"/>
        </w:rPr>
      </w:pPr>
      <w:r w:rsidRPr="007C6870">
        <w:rPr>
          <w:rFonts w:ascii="Arial" w:hAnsi="Arial" w:cs="Arial"/>
          <w:sz w:val="20"/>
          <w:szCs w:val="20"/>
        </w:rPr>
        <w:t>To the maximum extent permitted by law, the website, portal, documentation, Services, outputs, and content are provided “as is” and “as available,” subject to any express commitments in a signed Order Form or subscription agreement. Liability limitations in the applicable End Customer Subscription Terms apply.</w:t>
      </w:r>
    </w:p>
    <w:p w14:paraId="629E3E79" w14:textId="76EFC288" w:rsidR="007F7935" w:rsidRPr="007F7935" w:rsidRDefault="007F7935" w:rsidP="007C6870">
      <w:pPr>
        <w:jc w:val="both"/>
        <w:rPr>
          <w:rFonts w:ascii="Arial" w:hAnsi="Arial" w:cs="Arial"/>
          <w:b/>
          <w:bCs/>
          <w:sz w:val="24"/>
          <w:szCs w:val="24"/>
        </w:rPr>
      </w:pPr>
      <w:proofErr w:type="spellStart"/>
      <w:proofErr w:type="gramStart"/>
      <w:r w:rsidRPr="007F7935">
        <w:rPr>
          <w:rFonts w:ascii="Arial" w:hAnsi="Arial" w:cs="Arial"/>
          <w:b/>
          <w:bCs/>
          <w:sz w:val="24"/>
          <w:szCs w:val="24"/>
        </w:rPr>
        <w:t>DispatchDiligence</w:t>
      </w:r>
      <w:proofErr w:type="spellEnd"/>
      <w:proofErr w:type="gramEnd"/>
      <w:r w:rsidRPr="007F7935">
        <w:rPr>
          <w:rFonts w:ascii="Arial" w:hAnsi="Arial" w:cs="Arial"/>
          <w:b/>
          <w:bCs/>
          <w:sz w:val="24"/>
          <w:szCs w:val="24"/>
        </w:rPr>
        <w:t xml:space="preserve"> is not legal advice and does not guarantee compliance, claim avoidance, premium changes, or litigation outcomes.</w:t>
      </w:r>
    </w:p>
    <w:p w14:paraId="1D55E477" w14:textId="77777777" w:rsidR="00805874" w:rsidRPr="007C6870" w:rsidRDefault="00000000" w:rsidP="007C6870">
      <w:pPr>
        <w:pStyle w:val="Heading1"/>
        <w:jc w:val="both"/>
        <w:rPr>
          <w:rFonts w:ascii="Arial" w:hAnsi="Arial" w:cs="Arial"/>
          <w:sz w:val="20"/>
          <w:szCs w:val="20"/>
        </w:rPr>
      </w:pPr>
      <w:r w:rsidRPr="007C6870">
        <w:rPr>
          <w:rFonts w:ascii="Arial" w:hAnsi="Arial" w:cs="Arial"/>
          <w:sz w:val="20"/>
          <w:szCs w:val="20"/>
        </w:rPr>
        <w:t>12. Changes</w:t>
      </w:r>
    </w:p>
    <w:p w14:paraId="032A610E" w14:textId="77777777" w:rsidR="00805874" w:rsidRPr="007C6870" w:rsidRDefault="00000000" w:rsidP="007C6870">
      <w:pPr>
        <w:jc w:val="both"/>
        <w:rPr>
          <w:rFonts w:ascii="Arial" w:hAnsi="Arial" w:cs="Arial"/>
          <w:sz w:val="20"/>
          <w:szCs w:val="20"/>
        </w:rPr>
      </w:pPr>
      <w:r w:rsidRPr="007C6870">
        <w:rPr>
          <w:rFonts w:ascii="Arial" w:hAnsi="Arial" w:cs="Arial"/>
          <w:sz w:val="20"/>
          <w:szCs w:val="20"/>
        </w:rPr>
        <w:t>DispatchDiligence may update these Terms of Use. The updated version will be effective when posted or as otherwise stated. Continued access or use after the effective date constitutes acceptance of the updated terms.</w:t>
      </w:r>
    </w:p>
    <w:sectPr w:rsidR="00805874" w:rsidRPr="007C6870" w:rsidSect="00034616">
      <w:headerReference w:type="even" r:id="rId8"/>
      <w:headerReference w:type="default" r:id="rId9"/>
      <w:footerReference w:type="even" r:id="rId10"/>
      <w:footerReference w:type="default" r:id="rId11"/>
      <w:headerReference w:type="first" r:id="rId12"/>
      <w:footerReference w:type="first" r:id="rId13"/>
      <w:pgSz w:w="12240" w:h="15840"/>
      <w:pgMar w:top="936" w:right="1080" w:bottom="936"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3500" w14:textId="77777777" w:rsidR="006C716C" w:rsidRDefault="006C716C">
      <w:pPr>
        <w:spacing w:after="0" w:line="240" w:lineRule="auto"/>
      </w:pPr>
      <w:r>
        <w:separator/>
      </w:r>
    </w:p>
  </w:endnote>
  <w:endnote w:type="continuationSeparator" w:id="0">
    <w:p w14:paraId="763524C1" w14:textId="77777777" w:rsidR="006C716C" w:rsidRDefault="006C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24C2" w14:textId="77777777" w:rsidR="007C6870" w:rsidRDefault="007C6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12F7" w14:textId="09D089AD" w:rsidR="007C6870" w:rsidRPr="007C6870" w:rsidRDefault="007C6870" w:rsidP="007C6870">
    <w:pPr>
      <w:jc w:val="both"/>
      <w:rPr>
        <w:rFonts w:ascii="Arial" w:hAnsi="Arial" w:cs="Arial"/>
        <w:sz w:val="16"/>
        <w:szCs w:val="16"/>
      </w:rPr>
    </w:pPr>
    <w:r w:rsidRPr="007C6870">
      <w:rPr>
        <w:rFonts w:ascii="Arial" w:hAnsi="Arial" w:cs="Arial"/>
        <w:b/>
        <w:bCs/>
        <w:sz w:val="16"/>
        <w:szCs w:val="16"/>
      </w:rPr>
      <w:t>“High-Risk Data”</w:t>
    </w:r>
    <w:r w:rsidRPr="007C6870">
      <w:rPr>
        <w:rFonts w:ascii="Arial" w:hAnsi="Arial" w:cs="Arial"/>
        <w:sz w:val="16"/>
        <w:szCs w:val="16"/>
      </w:rPr>
      <w:t xml:space="preserve"> means data that creates heightened legal, regulatory, privacy, security, contractual, or operational risk, including: Social Security numbers; driver’s license or government identification numbers; passport numbers; financial account numbers; payment card data; consumer credit data; consumer reports or regulated background-check reports; criminal history records; protected health information; driver medical information; drug or alcohol testing records; biometric data; precise personal geolocation data not reasonably necessary for the pilot; children’s or minors’ data; special-category or sensitive personal data under applicable privacy laws; export-controlled information; trade-controlled information; passwords or shared credentials not intended for system integration; privileged legal advice or attorney work product; sensitive insurance-claim materials; and any other data identified as sensitive, restricted, prohibited, or high-risk in applicable law.</w:t>
    </w:r>
  </w:p>
  <w:p w14:paraId="2551D4A5" w14:textId="4599FF61" w:rsidR="007C6870" w:rsidRPr="007C6870" w:rsidRDefault="007C6870">
    <w:pPr>
      <w:pStyle w:val="Footer"/>
      <w:rPr>
        <w:rFonts w:ascii="Arial" w:hAnsi="Arial" w:cs="Arial"/>
        <w:sz w:val="16"/>
        <w:szCs w:val="16"/>
      </w:rPr>
    </w:pPr>
  </w:p>
  <w:p w14:paraId="58CDFA8B" w14:textId="0313AFF4" w:rsidR="00805874" w:rsidRDefault="0080587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9BBF" w14:textId="77777777" w:rsidR="007C6870" w:rsidRDefault="007C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4BCE" w14:textId="77777777" w:rsidR="006C716C" w:rsidRDefault="006C716C">
      <w:pPr>
        <w:spacing w:after="0" w:line="240" w:lineRule="auto"/>
      </w:pPr>
      <w:r>
        <w:separator/>
      </w:r>
    </w:p>
  </w:footnote>
  <w:footnote w:type="continuationSeparator" w:id="0">
    <w:p w14:paraId="3BABF9ED" w14:textId="77777777" w:rsidR="006C716C" w:rsidRDefault="006C7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703F" w14:textId="77777777" w:rsidR="007C6870" w:rsidRDefault="007C6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B67F" w14:textId="6005E703" w:rsidR="007C6870" w:rsidRDefault="007C6870">
    <w:pPr>
      <w:pStyle w:val="Header"/>
      <w:jc w:val="left"/>
    </w:pPr>
    <w:r/>
    <w:r>
      <w:drawing>
        <wp:inline xmlns:a="http://schemas.openxmlformats.org/drawingml/2006/main" xmlns:pic="http://schemas.openxmlformats.org/drawingml/2006/picture">
          <wp:extent cx="2331720" cy="474116"/>
          <wp:docPr id="1" name="Picture 1" descr="DispatchDiligence Terms of Use" title="DispatchDiligence Terms of Use"/>
          <wp:cNvGraphicFramePr>
            <a:graphicFrameLocks noChangeAspect="1"/>
          </wp:cNvGraphicFramePr>
          <a:graphic>
            <a:graphicData uri="http://schemas.openxmlformats.org/drawingml/2006/picture">
              <pic:pic>
                <pic:nvPicPr>
                  <pic:cNvPr id="0" name="email-logo.png"/>
                  <pic:cNvPicPr/>
                </pic:nvPicPr>
                <pic:blipFill>
                  <a:blip r:embed="rId1"/>
                  <a:stretch>
                    <a:fillRect/>
                  </a:stretch>
                </pic:blipFill>
                <pic:spPr>
                  <a:xfrm>
                    <a:off x="0" y="0"/>
                    <a:ext cx="2331720" cy="474116"/>
                  </a:xfrm>
                  <a:prstGeom prst="rect"/>
                </pic:spPr>
              </pic:pic>
            </a:graphicData>
          </a:graphic>
        </wp:inline>
      </w:drawing>
    </w:r>
  </w:p>
  <w:p w14:paraId="51F88C8E" w14:textId="3D3417DC" w:rsidR="00805874" w:rsidRDefault="0080587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3859" w14:textId="77777777" w:rsidR="007C6870" w:rsidRDefault="007C6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6238256">
    <w:abstractNumId w:val="8"/>
  </w:num>
  <w:num w:numId="2" w16cid:durableId="1983265011">
    <w:abstractNumId w:val="6"/>
  </w:num>
  <w:num w:numId="3" w16cid:durableId="705062950">
    <w:abstractNumId w:val="5"/>
  </w:num>
  <w:num w:numId="4" w16cid:durableId="1718242373">
    <w:abstractNumId w:val="4"/>
  </w:num>
  <w:num w:numId="5" w16cid:durableId="2127775935">
    <w:abstractNumId w:val="7"/>
  </w:num>
  <w:num w:numId="6" w16cid:durableId="28147573">
    <w:abstractNumId w:val="3"/>
  </w:num>
  <w:num w:numId="7" w16cid:durableId="562059940">
    <w:abstractNumId w:val="2"/>
  </w:num>
  <w:num w:numId="8" w16cid:durableId="1313219111">
    <w:abstractNumId w:val="1"/>
  </w:num>
  <w:num w:numId="9" w16cid:durableId="190860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69E8"/>
    <w:rsid w:val="0029639D"/>
    <w:rsid w:val="00326F90"/>
    <w:rsid w:val="006C716C"/>
    <w:rsid w:val="007C6870"/>
    <w:rsid w:val="007F7935"/>
    <w:rsid w:val="00805874"/>
    <w:rsid w:val="009817B1"/>
    <w:rsid w:val="00AA1D8D"/>
    <w:rsid w:val="00B47730"/>
    <w:rsid w:val="00CB0664"/>
    <w:rsid w:val="00F509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88733"/>
  <w14:defaultImageDpi w14:val="300"/>
  <w15:docId w15:val="{410C870E-FE40-4B80-BFC9-20B2E8CE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673</Words>
  <Characters>4198</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Penelope Register-Shaw</cp:lastModifiedBy>
  <cp:revision>4</cp:revision>
  <dcterms:created xsi:type="dcterms:W3CDTF">2026-06-19T00:53:00Z</dcterms:created>
  <dcterms:modified xsi:type="dcterms:W3CDTF">2026-06-25T19:36:00Z</dcterms:modified>
  <cp:category/>
</cp:coreProperties>
</file>